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台北供电所金桥路景观大道红线内工投集团低压线路补偿改造工程采购电缆项目（二次）</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pPr>
        <w:spacing w:line="360" w:lineRule="auto"/>
        <w:jc w:val="left"/>
        <w:rPr>
          <w:rFonts w:ascii="宋体" w:cs="宋体"/>
          <w:b/>
          <w:sz w:val="24"/>
        </w:rPr>
      </w:pPr>
    </w:p>
    <w:p>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lang w:eastAsia="zh-CN"/>
        </w:rPr>
        <w:t>台北供电所金桥路景观大道红线内工投集团低压线路补偿改造工程采购电缆项目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5"/>
        <w:tblW w:w="9270" w:type="dxa"/>
        <w:tblInd w:w="-261" w:type="dxa"/>
        <w:shd w:val="clear" w:color="auto" w:fill="auto"/>
        <w:tblLayout w:type="fixed"/>
        <w:tblCellMar>
          <w:top w:w="0" w:type="dxa"/>
          <w:left w:w="0" w:type="dxa"/>
          <w:bottom w:w="0" w:type="dxa"/>
          <w:right w:w="0" w:type="dxa"/>
        </w:tblCellMar>
      </w:tblPr>
      <w:tblGrid>
        <w:gridCol w:w="780"/>
        <w:gridCol w:w="1764"/>
        <w:gridCol w:w="3054"/>
        <w:gridCol w:w="1118"/>
        <w:gridCol w:w="1146"/>
        <w:gridCol w:w="1408"/>
      </w:tblGrid>
      <w:tr>
        <w:tblPrEx>
          <w:shd w:val="clear" w:color="auto" w:fill="auto"/>
          <w:tblCellMar>
            <w:top w:w="0" w:type="dxa"/>
            <w:left w:w="0" w:type="dxa"/>
            <w:bottom w:w="0" w:type="dxa"/>
            <w:right w:w="0"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1091"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绝缘</w:t>
            </w:r>
            <w:r>
              <w:rPr>
                <w:rFonts w:hint="eastAsia" w:ascii="宋体" w:hAnsi="宋体" w:cs="宋体"/>
                <w:i w:val="0"/>
                <w:iCs w:val="0"/>
                <w:color w:val="000000"/>
                <w:kern w:val="0"/>
                <w:sz w:val="24"/>
                <w:szCs w:val="24"/>
                <w:u w:val="none"/>
                <w:lang w:val="en-US" w:eastAsia="zh-CN" w:bidi="ar"/>
              </w:rPr>
              <w:t>钢芯铝绞线</w:t>
            </w:r>
          </w:p>
        </w:tc>
        <w:tc>
          <w:tcPr>
            <w:tcW w:w="30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JKL</w:t>
            </w:r>
            <w:r>
              <w:rPr>
                <w:rFonts w:hint="eastAsia" w:ascii="宋体" w:hAnsi="宋体" w:cs="宋体"/>
                <w:i w:val="0"/>
                <w:iCs w:val="0"/>
                <w:color w:val="000000"/>
                <w:kern w:val="0"/>
                <w:sz w:val="24"/>
                <w:szCs w:val="24"/>
                <w:u w:val="none"/>
                <w:lang w:val="en-US" w:eastAsia="zh-CN" w:bidi="ar"/>
              </w:rPr>
              <w:t>G</w:t>
            </w:r>
            <w:r>
              <w:rPr>
                <w:rFonts w:hint="eastAsia" w:ascii="宋体" w:hAnsi="宋体" w:eastAsia="宋体" w:cs="宋体"/>
                <w:i w:val="0"/>
                <w:iCs w:val="0"/>
                <w:color w:val="000000"/>
                <w:kern w:val="0"/>
                <w:sz w:val="24"/>
                <w:szCs w:val="24"/>
                <w:u w:val="none"/>
                <w:lang w:val="en-US" w:eastAsia="zh-CN" w:bidi="ar"/>
              </w:rPr>
              <w:t>YJ-10</w:t>
            </w:r>
            <w:r>
              <w:rPr>
                <w:rFonts w:hint="eastAsia" w:ascii="宋体" w:hAnsi="宋体" w:cs="宋体"/>
                <w:i w:val="0"/>
                <w:iCs w:val="0"/>
                <w:color w:val="000000"/>
                <w:kern w:val="0"/>
                <w:sz w:val="24"/>
                <w:szCs w:val="24"/>
                <w:u w:val="none"/>
                <w:lang w:val="en-US" w:eastAsia="zh-CN" w:bidi="ar"/>
              </w:rPr>
              <w:t>KV</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95/10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2150</w:t>
            </w:r>
            <w:r>
              <w:rPr>
                <w:rFonts w:hint="eastAsia" w:ascii="宋体" w:hAnsi="宋体" w:eastAsia="宋体" w:cs="宋体"/>
                <w:i w:val="0"/>
                <w:iCs w:val="0"/>
                <w:color w:val="000000"/>
                <w:kern w:val="0"/>
                <w:sz w:val="22"/>
                <w:szCs w:val="22"/>
                <w:u w:val="none"/>
                <w:lang w:val="en-US" w:eastAsia="zh-CN" w:bidi="ar"/>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sz w:val="24"/>
                <w:lang w:val="en-US" w:eastAsia="zh-CN"/>
              </w:rPr>
            </w:pP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及保险费用、增值税（13%）及其他相关税费等费用（如果国家政策有变动，依据国家最新政策变动）。</w:t>
      </w:r>
    </w:p>
    <w:p>
      <w:pPr>
        <w:numPr>
          <w:ilvl w:val="0"/>
          <w:numId w:val="1"/>
        </w:numPr>
        <w:spacing w:line="360" w:lineRule="auto"/>
        <w:ind w:left="-60" w:leftChars="0" w:firstLine="480" w:firstLineChars="0"/>
        <w:jc w:val="left"/>
        <w:rPr>
          <w:rFonts w:hint="eastAsia" w:ascii="宋体" w:hAnsi="宋体" w:cs="宋体"/>
          <w:sz w:val="24"/>
        </w:rPr>
      </w:pPr>
      <w:r>
        <w:rPr>
          <w:rFonts w:hint="eastAsia" w:ascii="宋体" w:hAnsi="宋体" w:cs="宋体"/>
          <w:sz w:val="24"/>
        </w:rPr>
        <w:t>产品交付期限：</w:t>
      </w:r>
      <w:r>
        <w:rPr>
          <w:rFonts w:hint="eastAsia" w:ascii="宋体" w:hAnsi="宋体" w:cs="宋体" w:eastAsiaTheme="minorEastAsia"/>
          <w:kern w:val="2"/>
          <w:sz w:val="24"/>
          <w:szCs w:val="24"/>
          <w:lang w:val="en-US" w:eastAsia="zh-CN" w:bidi="ar-SA"/>
        </w:rPr>
        <w:t>双方以书面、数据电文等形式有约定的，依据约定；没有约定的，收到中标通知书之日起</w:t>
      </w:r>
      <w:r>
        <w:rPr>
          <w:rFonts w:hint="eastAsia" w:ascii="宋体" w:hAnsi="宋体" w:cs="宋体"/>
          <w:kern w:val="2"/>
          <w:sz w:val="24"/>
          <w:szCs w:val="24"/>
          <w:highlight w:val="yellow"/>
          <w:lang w:val="en-US" w:eastAsia="zh-CN" w:bidi="ar-SA"/>
        </w:rPr>
        <w:t>15</w:t>
      </w:r>
      <w:r>
        <w:rPr>
          <w:rFonts w:hint="eastAsia" w:ascii="宋体" w:hAnsi="宋体" w:cs="宋体" w:eastAsiaTheme="minorEastAsia"/>
          <w:kern w:val="2"/>
          <w:sz w:val="24"/>
          <w:szCs w:val="24"/>
          <w:highlight w:val="yellow"/>
          <w:lang w:val="en-US" w:eastAsia="zh-CN" w:bidi="ar-SA"/>
        </w:rPr>
        <w:t>日</w:t>
      </w:r>
      <w:r>
        <w:rPr>
          <w:rFonts w:hint="eastAsia" w:ascii="宋体" w:hAnsi="宋体" w:cs="宋体" w:eastAsiaTheme="minorEastAsia"/>
          <w:kern w:val="2"/>
          <w:sz w:val="24"/>
          <w:szCs w:val="24"/>
          <w:lang w:val="en-US" w:eastAsia="zh-CN" w:bidi="ar-SA"/>
        </w:rPr>
        <w:t>内供货完毕并经验收合格</w:t>
      </w:r>
      <w:r>
        <w:rPr>
          <w:rFonts w:hint="eastAsia" w:ascii="宋体" w:hAnsi="宋体" w:cs="宋体"/>
          <w:sz w:val="24"/>
        </w:rPr>
        <w:t>。</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2022</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3"/>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有依法缴纳税收和社会保障资金的良好记录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27950.00</w:t>
      </w:r>
      <w:r>
        <w:rPr>
          <w:rFonts w:hint="eastAsia" w:ascii="宋体" w:hAnsi="宋体" w:cs="宋体"/>
          <w:sz w:val="24"/>
          <w:lang w:val="en-US" w:eastAsia="zh-CN"/>
        </w:rPr>
        <w:t>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依法缴纳税收和社会保障资金的记录</w:t>
      </w:r>
      <w:r>
        <w:rPr>
          <w:rFonts w:hint="eastAsia" w:ascii="宋体" w:hAnsi="宋体" w:cs="宋体"/>
          <w:sz w:val="24"/>
          <w:szCs w:val="24"/>
          <w:lang w:eastAsia="zh-CN"/>
        </w:rPr>
        <w:t>（</w:t>
      </w:r>
      <w:r>
        <w:rPr>
          <w:rFonts w:hint="eastAsia" w:ascii="宋体" w:hAnsi="宋体" w:cs="宋体"/>
          <w:sz w:val="24"/>
          <w:szCs w:val="24"/>
          <w:lang w:val="en-US" w:eastAsia="zh-CN"/>
        </w:rPr>
        <w:t>2021年7月-2022年5月内连续三个月</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出卖人向买受人提供真实、有效、合法的增值税专用发票（税率13%），出卖人出具银行开具合同总价20%的履约保函，买受人在收到保函7个工作日内向出卖人支付合同总价20％的预付款，出卖人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 xml:space="preserve">人：钱先生      </w:t>
      </w:r>
      <w:r>
        <w:rPr>
          <w:rFonts w:hint="default" w:ascii="宋体" w:hAnsi="宋体" w:cs="宋体"/>
          <w:sz w:val="24"/>
          <w:lang w:val="en-US" w:eastAsia="zh-CN"/>
        </w:rPr>
        <w:t xml:space="preserve"> </w:t>
      </w:r>
      <w:r>
        <w:rPr>
          <w:rFonts w:hint="eastAsia" w:ascii="宋体" w:hAnsi="宋体" w:cs="宋体"/>
          <w:sz w:val="24"/>
          <w:lang w:val="en-US" w:eastAsia="zh-CN"/>
        </w:rPr>
        <w:t>电话：18651721030</w:t>
      </w:r>
    </w:p>
    <w:p>
      <w:pPr>
        <w:spacing w:line="360" w:lineRule="auto"/>
        <w:ind w:firstLine="480" w:firstLineChars="200"/>
        <w:jc w:val="left"/>
        <w:rPr>
          <w:rFonts w:hint="default" w:ascii="宋体" w:hAnsi="宋体" w:cs="宋体"/>
          <w:sz w:val="24"/>
          <w:lang w:val="en-US" w:eastAsia="zh-CN"/>
        </w:rPr>
      </w:pPr>
    </w:p>
    <w:p>
      <w:pPr>
        <w:spacing w:line="360" w:lineRule="auto"/>
        <w:ind w:firstLine="480" w:firstLineChars="200"/>
        <w:jc w:val="right"/>
        <w:rPr>
          <w:rFonts w:ascii="宋体" w:cs="宋体"/>
          <w:sz w:val="24"/>
        </w:rPr>
      </w:pPr>
      <w:r>
        <w:rPr>
          <w:rFonts w:hint="eastAsia" w:ascii="宋体" w:hAnsi="宋体" w:cs="宋体"/>
          <w:sz w:val="24"/>
          <w:lang w:val="en-US" w:eastAsia="zh-CN"/>
        </w:rPr>
        <w:t xml:space="preserve">                  </w:t>
      </w:r>
      <w:r>
        <w:rPr>
          <w:rFonts w:hint="eastAsia" w:ascii="宋体" w:hAnsi="宋体" w:cs="宋体"/>
          <w:sz w:val="24"/>
        </w:rPr>
        <w:t>连云港工业投资集团供电工程分公司</w:t>
      </w:r>
    </w:p>
    <w:p>
      <w:pPr>
        <w:spacing w:line="360" w:lineRule="auto"/>
        <w:ind w:right="560" w:firstLine="480" w:firstLineChars="200"/>
        <w:jc w:val="right"/>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22</w:t>
      </w:r>
      <w:r>
        <w:rPr>
          <w:rFonts w:hint="eastAsia" w:ascii="宋体" w:hAnsi="宋体" w:cs="宋体"/>
          <w:sz w:val="24"/>
        </w:rPr>
        <w:t>年</w:t>
      </w:r>
      <w:r>
        <w:rPr>
          <w:rFonts w:hint="eastAsia" w:ascii="宋体" w:hAnsi="宋体" w:cs="宋体"/>
          <w:sz w:val="24"/>
          <w:lang w:val="en-US" w:eastAsia="zh-CN"/>
        </w:rPr>
        <w:t>05</w:t>
      </w:r>
      <w:r>
        <w:rPr>
          <w:rFonts w:hint="eastAsia" w:ascii="宋体" w:hAnsi="宋体" w:cs="宋体"/>
          <w:sz w:val="24"/>
        </w:rPr>
        <w:t>月</w:t>
      </w:r>
      <w:r>
        <w:rPr>
          <w:rFonts w:hint="eastAsia" w:ascii="宋体" w:hAnsi="宋体" w:cs="宋体"/>
          <w:sz w:val="24"/>
          <w:lang w:val="en-US" w:eastAsia="zh-CN"/>
        </w:rPr>
        <w:t>10</w:t>
      </w:r>
      <w:bookmarkStart w:id="5" w:name="_GoBack"/>
      <w:bookmarkEnd w:id="5"/>
      <w:r>
        <w:rPr>
          <w:rFonts w:hint="eastAsia" w:ascii="宋体" w:hAnsi="宋体" w:cs="宋体"/>
          <w:sz w:val="24"/>
        </w:rPr>
        <w:t>日</w:t>
      </w:r>
      <w:r>
        <w:rPr>
          <w:rFonts w:hint="eastAsia" w:ascii="宋体" w:hAnsi="宋体" w:cs="宋体"/>
          <w:sz w:val="24"/>
          <w:lang w:val="en-US" w:eastAsia="zh-CN"/>
        </w:rPr>
        <w:t xml:space="preserve">                           </w:t>
      </w:r>
    </w:p>
    <w:p>
      <w:pPr>
        <w:spacing w:line="360" w:lineRule="auto"/>
        <w:ind w:right="560" w:firstLine="480" w:firstLineChars="200"/>
        <w:jc w:val="center"/>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6、依法缴纳税收和社会保障资金的记录（2021年7月-2022年5月内连续三个月）（加盖公章）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0818732"/>
      <w:bookmarkStart w:id="2" w:name="_Toc62734871"/>
      <w:bookmarkStart w:id="3" w:name="_Toc61877376"/>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1820"/>
        <w:gridCol w:w="1005"/>
        <w:gridCol w:w="1065"/>
        <w:gridCol w:w="1212"/>
        <w:gridCol w:w="1269"/>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428"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089"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0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637"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725"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118"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212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ind w:firstLine="610"/>
        <w:rPr>
          <w:rFonts w:hint="eastAsia"/>
          <w:sz w:val="24"/>
        </w:rPr>
      </w:pPr>
    </w:p>
    <w:p>
      <w:pPr>
        <w:bidi w:val="0"/>
        <w:spacing w:line="440" w:lineRule="exact"/>
        <w:ind w:firstLine="610"/>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720"/>
          <w:tab w:val="left" w:pos="900"/>
        </w:tabs>
        <w:bidi w:val="0"/>
        <w:ind w:left="1078"/>
        <w:rPr>
          <w:rFonts w:hint="eastAsia"/>
          <w:sz w:val="24"/>
        </w:rPr>
      </w:pP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依法缴纳税收和社会保障资金的记录（2021年7月-2022年5月内连续三个月）（加盖公章）</w:t>
      </w: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pPr>
        <w:ind w:left="-60"/>
      </w:pPr>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N2I4NGU2ZjZhZGUyOWU5YzEzOTNjMWFiZDg1MDYifQ=="/>
  </w:docVars>
  <w:rsids>
    <w:rsidRoot w:val="004149D2"/>
    <w:rsid w:val="001142A3"/>
    <w:rsid w:val="001E18EB"/>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B20446"/>
    <w:rsid w:val="02654CB1"/>
    <w:rsid w:val="02AA0BB1"/>
    <w:rsid w:val="04964401"/>
    <w:rsid w:val="080A06A7"/>
    <w:rsid w:val="0C0E6455"/>
    <w:rsid w:val="0D1C756F"/>
    <w:rsid w:val="0D785E51"/>
    <w:rsid w:val="0E6A08A6"/>
    <w:rsid w:val="0E993CB5"/>
    <w:rsid w:val="0FB232A2"/>
    <w:rsid w:val="103528C7"/>
    <w:rsid w:val="10685553"/>
    <w:rsid w:val="107D77B2"/>
    <w:rsid w:val="1130123A"/>
    <w:rsid w:val="11990505"/>
    <w:rsid w:val="11D719B9"/>
    <w:rsid w:val="12377C75"/>
    <w:rsid w:val="12960FB7"/>
    <w:rsid w:val="137F5319"/>
    <w:rsid w:val="13BC4112"/>
    <w:rsid w:val="13FC4B19"/>
    <w:rsid w:val="14057B62"/>
    <w:rsid w:val="145B0760"/>
    <w:rsid w:val="156863F4"/>
    <w:rsid w:val="16B0772A"/>
    <w:rsid w:val="16BD7DED"/>
    <w:rsid w:val="178640CA"/>
    <w:rsid w:val="17C9440E"/>
    <w:rsid w:val="18721CB8"/>
    <w:rsid w:val="18D21BDA"/>
    <w:rsid w:val="1A684B06"/>
    <w:rsid w:val="1B9625A1"/>
    <w:rsid w:val="1D4B1478"/>
    <w:rsid w:val="1E127068"/>
    <w:rsid w:val="1F1979A7"/>
    <w:rsid w:val="2091237A"/>
    <w:rsid w:val="209C2412"/>
    <w:rsid w:val="24A96F3B"/>
    <w:rsid w:val="25710060"/>
    <w:rsid w:val="258D6F73"/>
    <w:rsid w:val="261E1082"/>
    <w:rsid w:val="27743463"/>
    <w:rsid w:val="28CD567C"/>
    <w:rsid w:val="2A19588C"/>
    <w:rsid w:val="2C582C57"/>
    <w:rsid w:val="2C751A6A"/>
    <w:rsid w:val="2CB247E9"/>
    <w:rsid w:val="2D670841"/>
    <w:rsid w:val="2F005368"/>
    <w:rsid w:val="321A3C3D"/>
    <w:rsid w:val="32747406"/>
    <w:rsid w:val="331128CC"/>
    <w:rsid w:val="33AB2DFB"/>
    <w:rsid w:val="34EB4A02"/>
    <w:rsid w:val="376322BC"/>
    <w:rsid w:val="39993E40"/>
    <w:rsid w:val="3A380A59"/>
    <w:rsid w:val="3A5032E7"/>
    <w:rsid w:val="3A6A792B"/>
    <w:rsid w:val="3AAB5061"/>
    <w:rsid w:val="3B5D4A7E"/>
    <w:rsid w:val="3BC75965"/>
    <w:rsid w:val="3BE765C1"/>
    <w:rsid w:val="3CFC70CA"/>
    <w:rsid w:val="3DD1395F"/>
    <w:rsid w:val="3E5165AD"/>
    <w:rsid w:val="3E9A2461"/>
    <w:rsid w:val="3EDC73DD"/>
    <w:rsid w:val="400144C3"/>
    <w:rsid w:val="40036A20"/>
    <w:rsid w:val="408D0011"/>
    <w:rsid w:val="41BD2505"/>
    <w:rsid w:val="41C41F31"/>
    <w:rsid w:val="42140EA8"/>
    <w:rsid w:val="42734EFD"/>
    <w:rsid w:val="435C6356"/>
    <w:rsid w:val="451F3F2C"/>
    <w:rsid w:val="453254A3"/>
    <w:rsid w:val="45AE2934"/>
    <w:rsid w:val="46AD304F"/>
    <w:rsid w:val="46D633A5"/>
    <w:rsid w:val="482512D8"/>
    <w:rsid w:val="488134C6"/>
    <w:rsid w:val="4A242B72"/>
    <w:rsid w:val="4AD11680"/>
    <w:rsid w:val="4B2844F3"/>
    <w:rsid w:val="4B2B4CF5"/>
    <w:rsid w:val="4DA5179B"/>
    <w:rsid w:val="4DD16AAC"/>
    <w:rsid w:val="4F322716"/>
    <w:rsid w:val="51D72A7B"/>
    <w:rsid w:val="51E34706"/>
    <w:rsid w:val="535541BB"/>
    <w:rsid w:val="53E56A1C"/>
    <w:rsid w:val="54F76591"/>
    <w:rsid w:val="551A75C7"/>
    <w:rsid w:val="568E3C42"/>
    <w:rsid w:val="599E1B42"/>
    <w:rsid w:val="5A7259C5"/>
    <w:rsid w:val="5C5F030B"/>
    <w:rsid w:val="5FCA0621"/>
    <w:rsid w:val="5FF80052"/>
    <w:rsid w:val="60171399"/>
    <w:rsid w:val="60AC0C42"/>
    <w:rsid w:val="61A20F78"/>
    <w:rsid w:val="63047358"/>
    <w:rsid w:val="63A31AEE"/>
    <w:rsid w:val="6A776E9F"/>
    <w:rsid w:val="6AD432EA"/>
    <w:rsid w:val="6B085AD4"/>
    <w:rsid w:val="6C0A7D97"/>
    <w:rsid w:val="6CA80668"/>
    <w:rsid w:val="6D171304"/>
    <w:rsid w:val="6E123E67"/>
    <w:rsid w:val="6F8D5088"/>
    <w:rsid w:val="6FD05675"/>
    <w:rsid w:val="71487932"/>
    <w:rsid w:val="71FD4A4D"/>
    <w:rsid w:val="725256DA"/>
    <w:rsid w:val="76074DF1"/>
    <w:rsid w:val="76135B49"/>
    <w:rsid w:val="775018D4"/>
    <w:rsid w:val="793A795E"/>
    <w:rsid w:val="7A99050A"/>
    <w:rsid w:val="7AE5230C"/>
    <w:rsid w:val="7B1B6C2F"/>
    <w:rsid w:val="7B410C9A"/>
    <w:rsid w:val="7BBC0535"/>
    <w:rsid w:val="7CAF14B1"/>
    <w:rsid w:val="7CB61BD5"/>
    <w:rsid w:val="7CCE6599"/>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99"/>
    <w:rPr>
      <w:rFonts w:cs="Times New Roman"/>
      <w:b/>
      <w:color w:val="787878"/>
      <w:sz w:val="18"/>
      <w:szCs w:val="18"/>
    </w:rPr>
  </w:style>
  <w:style w:type="character" w:styleId="9">
    <w:name w:val="FollowedHyperlink"/>
    <w:basedOn w:val="7"/>
    <w:qFormat/>
    <w:uiPriority w:val="99"/>
    <w:rPr>
      <w:rFonts w:cs="Times New Roman"/>
      <w:color w:val="666666"/>
      <w:u w:val="none"/>
    </w:rPr>
  </w:style>
  <w:style w:type="character" w:styleId="10">
    <w:name w:val="Emphasis"/>
    <w:basedOn w:val="7"/>
    <w:qFormat/>
    <w:uiPriority w:val="99"/>
    <w:rPr>
      <w:rFonts w:cs="Times New Roman"/>
    </w:rPr>
  </w:style>
  <w:style w:type="character" w:styleId="11">
    <w:name w:val="HTML Definition"/>
    <w:basedOn w:val="7"/>
    <w:qFormat/>
    <w:uiPriority w:val="99"/>
    <w:rPr>
      <w:rFonts w:cs="Times New Roman"/>
    </w:rPr>
  </w:style>
  <w:style w:type="character" w:styleId="12">
    <w:name w:val="HTML Variable"/>
    <w:basedOn w:val="7"/>
    <w:qFormat/>
    <w:uiPriority w:val="99"/>
    <w:rPr>
      <w:rFonts w:cs="Times New Roman"/>
    </w:rPr>
  </w:style>
  <w:style w:type="character" w:styleId="13">
    <w:name w:val="Hyperlink"/>
    <w:basedOn w:val="7"/>
    <w:qFormat/>
    <w:uiPriority w:val="99"/>
    <w:rPr>
      <w:rFonts w:cs="Times New Roman"/>
      <w:color w:val="666666"/>
      <w:u w:val="none"/>
    </w:rPr>
  </w:style>
  <w:style w:type="character" w:styleId="14">
    <w:name w:val="HTML Cite"/>
    <w:basedOn w:val="7"/>
    <w:qFormat/>
    <w:uiPriority w:val="99"/>
    <w:rPr>
      <w:rFonts w:cs="Times New Roman"/>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14</Pages>
  <Words>2961</Words>
  <Characters>3212</Characters>
  <Lines>0</Lines>
  <Paragraphs>0</Paragraphs>
  <TotalTime>32</TotalTime>
  <ScaleCrop>false</ScaleCrop>
  <LinksUpToDate>false</LinksUpToDate>
  <CharactersWithSpaces>3730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JK</cp:lastModifiedBy>
  <cp:lastPrinted>2022-05-06T07:06:00Z</cp:lastPrinted>
  <dcterms:modified xsi:type="dcterms:W3CDTF">2022-05-10T06:29:32Z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64A5E1E7AFE147A985082E4EF35B740E</vt:lpwstr>
  </property>
</Properties>
</file>